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08655" w14:textId="77777777" w:rsidR="00DE2D75" w:rsidRDefault="00DE2D75">
      <w:pPr>
        <w:rPr>
          <w:color w:val="000000"/>
          <w:lang w:val="fr-FR"/>
        </w:rPr>
      </w:pPr>
    </w:p>
    <w:p w14:paraId="3E8E1D75" w14:textId="77777777" w:rsidR="00DE2D75" w:rsidRPr="00EF0C57" w:rsidRDefault="00687771" w:rsidP="00EF0C57">
      <w:pPr>
        <w:jc w:val="center"/>
        <w:rPr>
          <w:b/>
          <w:bCs/>
          <w:color w:val="000000"/>
          <w:sz w:val="32"/>
          <w:szCs w:val="32"/>
          <w:lang w:val="fr-FR"/>
        </w:rPr>
      </w:pPr>
      <w:proofErr w:type="spellStart"/>
      <w:r w:rsidRPr="00EF0C57">
        <w:rPr>
          <w:b/>
          <w:bCs/>
          <w:color w:val="000000"/>
          <w:sz w:val="32"/>
          <w:szCs w:val="32"/>
          <w:lang w:val="fr-FR"/>
        </w:rPr>
        <w:t>Results</w:t>
      </w:r>
      <w:proofErr w:type="spellEnd"/>
      <w:r w:rsidRPr="00EF0C57">
        <w:rPr>
          <w:b/>
          <w:bCs/>
          <w:color w:val="000000"/>
          <w:sz w:val="32"/>
          <w:szCs w:val="32"/>
          <w:lang w:val="fr-FR"/>
        </w:rPr>
        <w:t xml:space="preserve">, open issues, </w:t>
      </w:r>
      <w:proofErr w:type="spellStart"/>
      <w:r w:rsidRPr="00EF0C57">
        <w:rPr>
          <w:b/>
          <w:bCs/>
          <w:color w:val="000000"/>
          <w:sz w:val="32"/>
          <w:szCs w:val="32"/>
          <w:lang w:val="fr-FR"/>
        </w:rPr>
        <w:t>significance</w:t>
      </w:r>
      <w:proofErr w:type="spellEnd"/>
      <w:r w:rsidRPr="00EF0C57">
        <w:rPr>
          <w:b/>
          <w:bCs/>
          <w:color w:val="000000"/>
          <w:sz w:val="32"/>
          <w:szCs w:val="32"/>
          <w:lang w:val="fr-FR"/>
        </w:rPr>
        <w:t xml:space="preserve"> and false expectations </w:t>
      </w:r>
      <w:proofErr w:type="spellStart"/>
      <w:r w:rsidRPr="00EF0C57">
        <w:rPr>
          <w:b/>
          <w:bCs/>
          <w:color w:val="000000"/>
          <w:sz w:val="32"/>
          <w:szCs w:val="32"/>
          <w:lang w:val="fr-FR"/>
        </w:rPr>
        <w:t>after</w:t>
      </w:r>
      <w:proofErr w:type="spellEnd"/>
      <w:r w:rsidRPr="00EF0C57">
        <w:rPr>
          <w:b/>
          <w:bCs/>
          <w:color w:val="000000"/>
          <w:sz w:val="32"/>
          <w:szCs w:val="32"/>
          <w:lang w:val="fr-FR"/>
        </w:rPr>
        <w:t xml:space="preserve"> 50 </w:t>
      </w:r>
      <w:proofErr w:type="spellStart"/>
      <w:r w:rsidRPr="00EF0C57">
        <w:rPr>
          <w:b/>
          <w:bCs/>
          <w:color w:val="000000"/>
          <w:sz w:val="32"/>
          <w:szCs w:val="32"/>
          <w:lang w:val="fr-FR"/>
        </w:rPr>
        <w:t>years</w:t>
      </w:r>
      <w:proofErr w:type="spellEnd"/>
      <w:r w:rsidRPr="00EF0C57">
        <w:rPr>
          <w:b/>
          <w:bCs/>
          <w:color w:val="000000"/>
          <w:sz w:val="32"/>
          <w:szCs w:val="32"/>
          <w:lang w:val="fr-FR"/>
        </w:rPr>
        <w:t xml:space="preserve"> of </w:t>
      </w:r>
      <w:proofErr w:type="gramStart"/>
      <w:r w:rsidRPr="00EF0C57">
        <w:rPr>
          <w:b/>
          <w:bCs/>
          <w:color w:val="000000"/>
          <w:sz w:val="32"/>
          <w:szCs w:val="32"/>
          <w:lang w:val="fr-FR"/>
        </w:rPr>
        <w:t>science  in</w:t>
      </w:r>
      <w:proofErr w:type="gramEnd"/>
      <w:r w:rsidRPr="00EF0C57">
        <w:rPr>
          <w:b/>
          <w:bCs/>
          <w:color w:val="000000"/>
          <w:sz w:val="32"/>
          <w:szCs w:val="32"/>
          <w:lang w:val="fr-FR"/>
        </w:rPr>
        <w:t xml:space="preserve"> </w:t>
      </w:r>
      <w:proofErr w:type="spellStart"/>
      <w:r w:rsidRPr="00EF0C57">
        <w:rPr>
          <w:b/>
          <w:bCs/>
          <w:color w:val="000000"/>
          <w:sz w:val="32"/>
          <w:szCs w:val="32"/>
          <w:lang w:val="fr-FR"/>
        </w:rPr>
        <w:t>nuclear</w:t>
      </w:r>
      <w:proofErr w:type="spellEnd"/>
      <w:r w:rsidRPr="00EF0C57">
        <w:rPr>
          <w:b/>
          <w:bCs/>
          <w:color w:val="000000"/>
          <w:sz w:val="32"/>
          <w:szCs w:val="32"/>
          <w:lang w:val="fr-FR"/>
        </w:rPr>
        <w:t xml:space="preserve"> </w:t>
      </w:r>
      <w:proofErr w:type="spellStart"/>
      <w:r w:rsidRPr="00EF0C57">
        <w:rPr>
          <w:b/>
          <w:bCs/>
          <w:color w:val="000000"/>
          <w:sz w:val="32"/>
          <w:szCs w:val="32"/>
          <w:lang w:val="fr-FR"/>
        </w:rPr>
        <w:t>waste</w:t>
      </w:r>
      <w:proofErr w:type="spellEnd"/>
      <w:r w:rsidRPr="00EF0C57">
        <w:rPr>
          <w:b/>
          <w:bCs/>
          <w:color w:val="000000"/>
          <w:sz w:val="32"/>
          <w:szCs w:val="32"/>
          <w:lang w:val="fr-FR"/>
        </w:rPr>
        <w:t xml:space="preserve"> management</w:t>
      </w:r>
    </w:p>
    <w:p w14:paraId="6D0CDC48" w14:textId="77777777" w:rsidR="00DE2D75" w:rsidRDefault="00687771">
      <w:pPr>
        <w:rPr>
          <w:color w:val="000000"/>
        </w:rPr>
      </w:pPr>
      <w:r>
        <w:rPr>
          <w:color w:val="000000"/>
          <w:lang w:val="fr-FR"/>
        </w:rPr>
        <w:t xml:space="preserve">Bernd </w:t>
      </w:r>
      <w:proofErr w:type="spellStart"/>
      <w:r>
        <w:rPr>
          <w:color w:val="000000"/>
          <w:lang w:val="fr-FR"/>
        </w:rPr>
        <w:t>Grambow</w:t>
      </w:r>
      <w:proofErr w:type="spellEnd"/>
    </w:p>
    <w:p w14:paraId="216B9AA3" w14:textId="77777777" w:rsidR="00DE2D75" w:rsidRDefault="00687771">
      <w:pPr>
        <w:rPr>
          <w:color w:val="000000"/>
        </w:rPr>
      </w:pPr>
      <w:r>
        <w:rPr>
          <w:color w:val="000000"/>
          <w:lang w:val="fr-FR"/>
        </w:rPr>
        <w:t>SUBATECH (IMT Atlantique, Université de Nantes, CNRS IN2P3)</w:t>
      </w:r>
    </w:p>
    <w:p w14:paraId="38182905" w14:textId="77777777" w:rsidR="00DE2D75" w:rsidRDefault="00687771">
      <w:pPr>
        <w:rPr>
          <w:color w:val="000000"/>
        </w:rPr>
      </w:pPr>
      <w:r>
        <w:rPr>
          <w:color w:val="000000"/>
        </w:rPr>
        <w:br w:type="textWrapping" w:clear="all"/>
      </w:r>
    </w:p>
    <w:p w14:paraId="11EA7B70" w14:textId="77777777" w:rsidR="00DE2D75" w:rsidRDefault="00687771">
      <w:pPr>
        <w:rPr>
          <w:color w:val="000000"/>
          <w:lang w:val="fr-FR"/>
        </w:rPr>
      </w:pPr>
      <w:r>
        <w:rPr>
          <w:color w:val="000000"/>
          <w:lang w:val="fr-FR"/>
        </w:rPr>
        <w:t xml:space="preserve">Abstract </w:t>
      </w:r>
    </w:p>
    <w:p w14:paraId="6B8E2A43" w14:textId="77777777" w:rsidR="00DE2D75" w:rsidRDefault="00687771" w:rsidP="00EF0C57">
      <w:pPr>
        <w:pBdr>
          <w:top w:val="none" w:sz="4" w:space="0" w:color="000000"/>
          <w:left w:val="none" w:sz="4" w:space="0" w:color="000000"/>
          <w:bottom w:val="none" w:sz="4" w:space="0" w:color="000000"/>
          <w:right w:val="none" w:sz="4" w:space="0" w:color="000000"/>
        </w:pBdr>
        <w:jc w:val="both"/>
      </w:pPr>
      <w:r>
        <w:t xml:space="preserve">While research on the safety of geological disposal of radioactive waste </w:t>
      </w:r>
      <w:proofErr w:type="spellStart"/>
      <w:r>
        <w:rPr>
          <w:lang w:val="fr-FR"/>
        </w:rPr>
        <w:t>is</w:t>
      </w:r>
      <w:proofErr w:type="spellEnd"/>
      <w:r>
        <w:t xml:space="preserve"> ongoing </w:t>
      </w:r>
      <w:r>
        <w:rPr>
          <w:lang w:val="fr-FR"/>
        </w:rPr>
        <w:t xml:space="preserve">for </w:t>
      </w:r>
      <w:r>
        <w:t xml:space="preserve">more than 60 years, </w:t>
      </w:r>
      <w:r>
        <w:rPr>
          <w:lang w:val="fr-FR"/>
        </w:rPr>
        <w:t xml:space="preserve">and </w:t>
      </w:r>
      <w:r>
        <w:t>since 48 years always guided by the MRS symposia on the « scientific basis of nuclear waste management »</w:t>
      </w:r>
      <w:r>
        <w:rPr>
          <w:lang w:val="fr-FR"/>
        </w:rPr>
        <w:t xml:space="preserve"> </w:t>
      </w:r>
      <w:proofErr w:type="spellStart"/>
      <w:r>
        <w:rPr>
          <w:lang w:val="fr-FR"/>
        </w:rPr>
        <w:t>both</w:t>
      </w:r>
      <w:proofErr w:type="spellEnd"/>
      <w:r>
        <w:rPr>
          <w:lang w:val="fr-FR"/>
        </w:rPr>
        <w:t xml:space="preserve"> in Europe and in the USA</w:t>
      </w:r>
      <w:r>
        <w:t>, the rese</w:t>
      </w:r>
      <w:r>
        <w:t xml:space="preserve">arch community has not achieved a clear understanding of </w:t>
      </w:r>
      <w:r>
        <w:rPr>
          <w:lang w:val="fr-FR"/>
        </w:rPr>
        <w:t xml:space="preserve"> </w:t>
      </w:r>
      <w:proofErr w:type="spellStart"/>
      <w:r>
        <w:rPr>
          <w:lang w:val="fr-FR"/>
        </w:rPr>
        <w:t>which</w:t>
      </w:r>
      <w:proofErr w:type="spellEnd"/>
      <w:r>
        <w:rPr>
          <w:lang w:val="fr-FR"/>
        </w:rPr>
        <w:t xml:space="preserve"> </w:t>
      </w:r>
      <w:r>
        <w:t xml:space="preserve">research is still necessary to </w:t>
      </w:r>
      <w:r>
        <w:rPr>
          <w:lang w:val="fr-FR"/>
        </w:rPr>
        <w:t xml:space="preserve">site, plan and </w:t>
      </w:r>
      <w:proofErr w:type="spellStart"/>
      <w:r>
        <w:rPr>
          <w:lang w:val="fr-FR"/>
        </w:rPr>
        <w:t>build</w:t>
      </w:r>
      <w:proofErr w:type="spellEnd"/>
      <w:r>
        <w:rPr>
          <w:lang w:val="fr-FR"/>
        </w:rPr>
        <w:t xml:space="preserve"> a repository in a </w:t>
      </w:r>
      <w:proofErr w:type="spellStart"/>
      <w:r>
        <w:rPr>
          <w:lang w:val="fr-FR"/>
        </w:rPr>
        <w:t>given</w:t>
      </w:r>
      <w:proofErr w:type="spellEnd"/>
      <w:r>
        <w:rPr>
          <w:lang w:val="fr-FR"/>
        </w:rPr>
        <w:t xml:space="preserve"> country and to </w:t>
      </w:r>
      <w:r>
        <w:t xml:space="preserve">assure </w:t>
      </w:r>
      <w:proofErr w:type="spellStart"/>
      <w:r>
        <w:rPr>
          <w:lang w:val="fr-FR"/>
        </w:rPr>
        <w:t>its</w:t>
      </w:r>
      <w:proofErr w:type="spellEnd"/>
      <w:r>
        <w:rPr>
          <w:lang w:val="fr-FR"/>
        </w:rPr>
        <w:t xml:space="preserve"> </w:t>
      </w:r>
      <w:r>
        <w:t>long term safety</w:t>
      </w:r>
      <w:r>
        <w:rPr>
          <w:lang w:val="fr-FR"/>
        </w:rPr>
        <w:t xml:space="preserve"> or </w:t>
      </w:r>
      <w:proofErr w:type="spellStart"/>
      <w:r>
        <w:rPr>
          <w:lang w:val="fr-FR"/>
        </w:rPr>
        <w:t>whether</w:t>
      </w:r>
      <w:proofErr w:type="spellEnd"/>
      <w:r>
        <w:rPr>
          <w:lang w:val="fr-FR"/>
        </w:rPr>
        <w:t xml:space="preserve"> </w:t>
      </w:r>
      <w:proofErr w:type="spellStart"/>
      <w:r>
        <w:rPr>
          <w:lang w:val="fr-FR"/>
        </w:rPr>
        <w:t>it</w:t>
      </w:r>
      <w:proofErr w:type="spellEnd"/>
      <w:r>
        <w:rPr>
          <w:lang w:val="fr-FR"/>
        </w:rPr>
        <w:t xml:space="preserve"> </w:t>
      </w:r>
      <w:proofErr w:type="spellStart"/>
      <w:r>
        <w:rPr>
          <w:lang w:val="fr-FR"/>
        </w:rPr>
        <w:t>is</w:t>
      </w:r>
      <w:proofErr w:type="spellEnd"/>
      <w:r>
        <w:rPr>
          <w:lang w:val="fr-FR"/>
        </w:rPr>
        <w:t xml:space="preserve"> </w:t>
      </w:r>
      <w:proofErr w:type="spellStart"/>
      <w:r>
        <w:rPr>
          <w:lang w:val="fr-FR"/>
        </w:rPr>
        <w:t>necessary</w:t>
      </w:r>
      <w:proofErr w:type="spellEnd"/>
      <w:r>
        <w:rPr>
          <w:lang w:val="fr-FR"/>
        </w:rPr>
        <w:t xml:space="preserve"> to </w:t>
      </w:r>
      <w:proofErr w:type="spellStart"/>
      <w:r>
        <w:rPr>
          <w:lang w:val="fr-FR"/>
        </w:rPr>
        <w:t>contribute</w:t>
      </w:r>
      <w:proofErr w:type="spellEnd"/>
      <w:r>
        <w:rPr>
          <w:lang w:val="fr-FR"/>
        </w:rPr>
        <w:t xml:space="preserve"> to global </w:t>
      </w:r>
      <w:proofErr w:type="spellStart"/>
      <w:r>
        <w:rPr>
          <w:lang w:val="fr-FR"/>
        </w:rPr>
        <w:t>understanding</w:t>
      </w:r>
      <w:proofErr w:type="spellEnd"/>
      <w:r>
        <w:rPr>
          <w:lang w:val="fr-FR"/>
        </w:rPr>
        <w:t xml:space="preserve"> </w:t>
      </w:r>
      <w:proofErr w:type="spellStart"/>
      <w:r>
        <w:rPr>
          <w:lang w:val="fr-FR"/>
        </w:rPr>
        <w:t>while</w:t>
      </w:r>
      <w:proofErr w:type="spellEnd"/>
      <w:r>
        <w:rPr>
          <w:lang w:val="fr-FR"/>
        </w:rPr>
        <w:t xml:space="preserve"> no</w:t>
      </w:r>
      <w:r>
        <w:rPr>
          <w:lang w:val="fr-FR"/>
        </w:rPr>
        <w:t xml:space="preserve">t </w:t>
      </w:r>
      <w:proofErr w:type="spellStart"/>
      <w:r>
        <w:rPr>
          <w:lang w:val="fr-FR"/>
        </w:rPr>
        <w:t>being</w:t>
      </w:r>
      <w:proofErr w:type="spellEnd"/>
      <w:r>
        <w:rPr>
          <w:lang w:val="fr-FR"/>
        </w:rPr>
        <w:t xml:space="preserve"> </w:t>
      </w:r>
      <w:proofErr w:type="spellStart"/>
      <w:r>
        <w:rPr>
          <w:lang w:val="fr-FR"/>
        </w:rPr>
        <w:t>necessary</w:t>
      </w:r>
      <w:proofErr w:type="spellEnd"/>
      <w:r>
        <w:rPr>
          <w:lang w:val="fr-FR"/>
        </w:rPr>
        <w:t xml:space="preserve"> to </w:t>
      </w:r>
      <w:proofErr w:type="spellStart"/>
      <w:r>
        <w:rPr>
          <w:lang w:val="fr-FR"/>
        </w:rPr>
        <w:t>advance</w:t>
      </w:r>
      <w:proofErr w:type="spellEnd"/>
      <w:r>
        <w:rPr>
          <w:lang w:val="fr-FR"/>
        </w:rPr>
        <w:t xml:space="preserve"> </w:t>
      </w:r>
      <w:proofErr w:type="spellStart"/>
      <w:r>
        <w:rPr>
          <w:lang w:val="fr-FR"/>
        </w:rPr>
        <w:t>concrete</w:t>
      </w:r>
      <w:proofErr w:type="spellEnd"/>
      <w:r>
        <w:rPr>
          <w:lang w:val="fr-FR"/>
        </w:rPr>
        <w:t xml:space="preserve"> </w:t>
      </w:r>
      <w:proofErr w:type="spellStart"/>
      <w:r>
        <w:rPr>
          <w:lang w:val="fr-FR"/>
        </w:rPr>
        <w:t>projects</w:t>
      </w:r>
      <w:proofErr w:type="spellEnd"/>
      <w:r>
        <w:rPr>
          <w:lang w:val="fr-FR"/>
        </w:rPr>
        <w:t xml:space="preserve">. In the public, </w:t>
      </w:r>
      <w:proofErr w:type="spellStart"/>
      <w:r>
        <w:rPr>
          <w:lang w:val="fr-FR"/>
        </w:rPr>
        <w:t>doubts</w:t>
      </w:r>
      <w:proofErr w:type="spellEnd"/>
      <w:r>
        <w:rPr>
          <w:lang w:val="fr-FR"/>
        </w:rPr>
        <w:t xml:space="preserve"> on the </w:t>
      </w:r>
      <w:proofErr w:type="spellStart"/>
      <w:r>
        <w:rPr>
          <w:lang w:val="fr-FR"/>
        </w:rPr>
        <w:t>safety</w:t>
      </w:r>
      <w:proofErr w:type="spellEnd"/>
      <w:r>
        <w:rPr>
          <w:lang w:val="fr-FR"/>
        </w:rPr>
        <w:t xml:space="preserve"> of </w:t>
      </w:r>
      <w:proofErr w:type="spellStart"/>
      <w:r>
        <w:rPr>
          <w:lang w:val="fr-FR"/>
        </w:rPr>
        <w:t>geological</w:t>
      </w:r>
      <w:proofErr w:type="spellEnd"/>
      <w:r>
        <w:rPr>
          <w:lang w:val="fr-FR"/>
        </w:rPr>
        <w:t xml:space="preserve"> </w:t>
      </w:r>
      <w:proofErr w:type="spellStart"/>
      <w:r>
        <w:rPr>
          <w:lang w:val="fr-FR"/>
        </w:rPr>
        <w:t>disposal</w:t>
      </w:r>
      <w:proofErr w:type="spellEnd"/>
      <w:r>
        <w:rPr>
          <w:lang w:val="fr-FR"/>
        </w:rPr>
        <w:t xml:space="preserve"> </w:t>
      </w:r>
      <w:proofErr w:type="spellStart"/>
      <w:r>
        <w:rPr>
          <w:lang w:val="fr-FR"/>
        </w:rPr>
        <w:t>persists</w:t>
      </w:r>
      <w:proofErr w:type="spellEnd"/>
      <w:r>
        <w:rPr>
          <w:lang w:val="fr-FR"/>
        </w:rPr>
        <w:t xml:space="preserve">. </w:t>
      </w:r>
    </w:p>
    <w:p w14:paraId="47F83D7B" w14:textId="77777777" w:rsidR="00DE2D75" w:rsidRDefault="00687771" w:rsidP="00EF0C57">
      <w:pPr>
        <w:pBdr>
          <w:top w:val="none" w:sz="4" w:space="0" w:color="000000"/>
          <w:left w:val="none" w:sz="4" w:space="0" w:color="000000"/>
          <w:bottom w:val="none" w:sz="4" w:space="0" w:color="000000"/>
          <w:right w:val="none" w:sz="4" w:space="0" w:color="000000"/>
        </w:pBdr>
        <w:jc w:val="both"/>
      </w:pPr>
      <w:r>
        <w:t xml:space="preserve">Repository safety is often considered to be a concept developed by safety engineers, putting ever-growing </w:t>
      </w:r>
      <w:proofErr w:type="spellStart"/>
      <w:r>
        <w:rPr>
          <w:lang w:val="fr-FR"/>
        </w:rPr>
        <w:t>scientific</w:t>
      </w:r>
      <w:proofErr w:type="spellEnd"/>
      <w:r>
        <w:rPr>
          <w:lang w:val="fr-FR"/>
        </w:rPr>
        <w:t xml:space="preserve"> and </w:t>
      </w:r>
      <w:proofErr w:type="spellStart"/>
      <w:r>
        <w:rPr>
          <w:lang w:val="fr-FR"/>
        </w:rPr>
        <w:t>systems</w:t>
      </w:r>
      <w:proofErr w:type="spellEnd"/>
      <w:r>
        <w:rPr>
          <w:lang w:val="fr-FR"/>
        </w:rPr>
        <w:t xml:space="preserve"> </w:t>
      </w:r>
      <w:r>
        <w:t>knowledge</w:t>
      </w:r>
      <w:r>
        <w:t xml:space="preserve"> in the overall context of a safety case, with scientists providing building blocks for it, many of which might not contribute to safety. </w:t>
      </w:r>
    </w:p>
    <w:p w14:paraId="195B7C51" w14:textId="77777777" w:rsidR="00DE2D75" w:rsidRDefault="00687771" w:rsidP="00EF0C57">
      <w:pPr>
        <w:jc w:val="both"/>
        <w:rPr>
          <w:color w:val="000000"/>
          <w:lang w:val="fr-FR"/>
        </w:rPr>
      </w:pPr>
      <w:r>
        <w:t>The scientific community at large need to advance systems understanding of repository safety to distinguish between r</w:t>
      </w:r>
      <w:r>
        <w:t xml:space="preserve">esearch subjects as « nice to </w:t>
      </w:r>
      <w:proofErr w:type="spellStart"/>
      <w:r>
        <w:t>poursue</w:t>
      </w:r>
      <w:proofErr w:type="spellEnd"/>
      <w:r>
        <w:t xml:space="preserve"> », « interesting » and « necessary ». While the message is often given out, that there are </w:t>
      </w:r>
      <w:proofErr w:type="gramStart"/>
      <w:r>
        <w:t>still so much</w:t>
      </w:r>
      <w:proofErr w:type="gramEnd"/>
      <w:r>
        <w:t xml:space="preserve"> unknowns, the impression shall not be made that these unknowns limit our ability to build, operate and close repo</w:t>
      </w:r>
      <w:r>
        <w:t>sitories and confirm their long term safety. Current progress of repository programs like that in Finland shows that sufficient knowledge has been gathered to go ahead. Nevertheless, research and follow up of scientific progress and the continuing check of</w:t>
      </w:r>
      <w:r>
        <w:t xml:space="preserve"> potential impacts on the ongoing projects needs to accompany repository </w:t>
      </w:r>
      <w:proofErr w:type="spellStart"/>
      <w:r>
        <w:t>programms</w:t>
      </w:r>
      <w:proofErr w:type="spellEnd"/>
      <w:r>
        <w:t xml:space="preserve"> all over the many decades of their developments, well beyond the next century and even beyond repository closure. O</w:t>
      </w:r>
      <w:proofErr w:type="spellStart"/>
      <w:r>
        <w:rPr>
          <w:color w:val="000000"/>
          <w:lang w:val="fr-FR"/>
        </w:rPr>
        <w:t>pen</w:t>
      </w:r>
      <w:proofErr w:type="spellEnd"/>
      <w:r>
        <w:rPr>
          <w:color w:val="000000"/>
          <w:lang w:val="fr-FR"/>
        </w:rPr>
        <w:t xml:space="preserve"> issues and false </w:t>
      </w:r>
      <w:proofErr w:type="gramStart"/>
      <w:r>
        <w:rPr>
          <w:color w:val="000000"/>
          <w:lang w:val="fr-FR"/>
        </w:rPr>
        <w:t>expectations  are</w:t>
      </w:r>
      <w:proofErr w:type="gramEnd"/>
      <w:r>
        <w:rPr>
          <w:color w:val="000000"/>
          <w:lang w:val="fr-FR"/>
        </w:rPr>
        <w:t xml:space="preserve"> </w:t>
      </w:r>
      <w:proofErr w:type="spellStart"/>
      <w:r>
        <w:rPr>
          <w:color w:val="000000"/>
          <w:lang w:val="fr-FR"/>
        </w:rPr>
        <w:t>addressed</w:t>
      </w:r>
      <w:proofErr w:type="spellEnd"/>
      <w:r>
        <w:rPr>
          <w:color w:val="000000"/>
          <w:lang w:val="fr-FR"/>
        </w:rPr>
        <w:t xml:space="preserve"> in </w:t>
      </w:r>
      <w:proofErr w:type="spellStart"/>
      <w:r>
        <w:rPr>
          <w:color w:val="000000"/>
          <w:lang w:val="fr-FR"/>
        </w:rPr>
        <w:t>this</w:t>
      </w:r>
      <w:proofErr w:type="spellEnd"/>
      <w:r>
        <w:rPr>
          <w:color w:val="000000"/>
          <w:lang w:val="fr-FR"/>
        </w:rPr>
        <w:t xml:space="preserve"> </w:t>
      </w:r>
      <w:proofErr w:type="spellStart"/>
      <w:r>
        <w:rPr>
          <w:color w:val="000000"/>
          <w:lang w:val="fr-FR"/>
        </w:rPr>
        <w:t>p</w:t>
      </w:r>
      <w:r>
        <w:rPr>
          <w:color w:val="000000"/>
          <w:lang w:val="fr-FR"/>
        </w:rPr>
        <w:t>aper</w:t>
      </w:r>
      <w:proofErr w:type="spellEnd"/>
      <w:r>
        <w:rPr>
          <w:color w:val="000000"/>
          <w:lang w:val="fr-FR"/>
        </w:rPr>
        <w:t>.</w:t>
      </w:r>
    </w:p>
    <w:p w14:paraId="65BCE0BA" w14:textId="77777777" w:rsidR="00DE2D75" w:rsidRDefault="00DE2D75" w:rsidP="00EF0C57">
      <w:pPr>
        <w:jc w:val="both"/>
        <w:rPr>
          <w:color w:val="000000"/>
          <w:lang w:val="fr-FR"/>
        </w:rPr>
      </w:pPr>
    </w:p>
    <w:sectPr w:rsidR="00DE2D75">
      <w:headerReference w:type="even" r:id="rId7"/>
      <w:headerReference w:type="default" r:id="rId8"/>
      <w:headerReference w:type="first" r:id="rId9"/>
      <w:endnotePr>
        <w:numFmt w:val="decimal"/>
      </w:endnotePr>
      <w:pgSz w:w="11909" w:h="16834"/>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2EB67" w14:textId="77777777" w:rsidR="00687771" w:rsidRDefault="00687771">
      <w:r>
        <w:separator/>
      </w:r>
    </w:p>
  </w:endnote>
  <w:endnote w:type="continuationSeparator" w:id="0">
    <w:p w14:paraId="7074FBD6" w14:textId="77777777" w:rsidR="00687771" w:rsidRDefault="00687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0"/>
    <w:family w:val="auto"/>
    <w:pitch w:val="default"/>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65C12" w14:textId="77777777" w:rsidR="00687771" w:rsidRDefault="00687771">
      <w:r>
        <w:separator/>
      </w:r>
    </w:p>
  </w:footnote>
  <w:footnote w:type="continuationSeparator" w:id="0">
    <w:p w14:paraId="31819647" w14:textId="77777777" w:rsidR="00687771" w:rsidRDefault="00687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CA7C" w14:textId="77777777" w:rsidR="00DE2D75" w:rsidRDefault="00687771">
    <w:pPr>
      <w:pStyle w:val="En-tte"/>
    </w:pPr>
    <w:r>
      <w:rPr>
        <w:noProof/>
      </w:rPr>
      <w:drawing>
        <wp:anchor distT="0" distB="0" distL="114300" distR="114300" simplePos="0" relativeHeight="250609663" behindDoc="1" locked="0" layoutInCell="0" allowOverlap="1" wp14:anchorId="2E43BC5E" wp14:editId="779E3EC2">
          <wp:simplePos x="0" y="0"/>
          <wp:positionH relativeFrom="margin">
            <wp:align>center</wp:align>
          </wp:positionH>
          <wp:positionV relativeFrom="margin">
            <wp:align>center</wp:align>
          </wp:positionV>
          <wp:extent cx="5749925" cy="3832860"/>
          <wp:effectExtent l="0" t="0" r="0" b="0"/>
          <wp:wrapNone/>
          <wp:docPr id="2" name="_x0000_s2059"/>
          <wp:cNvGraphicFramePr/>
          <a:graphic xmlns:a="http://schemas.openxmlformats.org/drawingml/2006/main">
            <a:graphicData uri="http://schemas.openxmlformats.org/drawingml/2006/picture">
              <pic:pic xmlns:pic="http://schemas.openxmlformats.org/drawingml/2006/picture">
                <pic:nvPicPr>
                  <pic:cNvPr id="0" name="" descr="crowd-nanoanalysis-sympo"/>
                  <pic:cNvPicPr/>
                </pic:nvPicPr>
                <pic:blipFill rotWithShape="1">
                  <a:blip r:embed="rId1"/>
                  <a:stretch/>
                </pic:blipFill>
                <pic:spPr bwMode="auto">
                  <a:xfrm>
                    <a:off x="0" y="0"/>
                    <a:ext cx="5749925" cy="383286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61D5" w14:textId="77777777" w:rsidR="00DE2D75" w:rsidRDefault="00687771">
    <w:pPr>
      <w:pStyle w:val="En-tte"/>
    </w:pPr>
    <w:r>
      <w:rPr>
        <w:noProof/>
      </w:rPr>
      <w:drawing>
        <wp:inline distT="0" distB="0" distL="0" distR="0" wp14:anchorId="0CDA85CD" wp14:editId="364BBD8C">
          <wp:extent cx="5749900" cy="1058986"/>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descr="header-m-background"/>
                  <pic:cNvPicPr/>
                </pic:nvPicPr>
                <pic:blipFill rotWithShape="1">
                  <a:blip r:embed="rId1"/>
                  <a:stretch/>
                </pic:blipFill>
                <pic:spPr bwMode="auto">
                  <a:xfrm>
                    <a:off x="0" y="0"/>
                    <a:ext cx="5749900" cy="1058986"/>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A8847" w14:textId="77777777" w:rsidR="00DE2D75" w:rsidRDefault="00687771">
    <w:pPr>
      <w:pStyle w:val="En-tte"/>
    </w:pPr>
    <w:r>
      <w:rPr>
        <w:noProof/>
      </w:rPr>
      <w:drawing>
        <wp:anchor distT="0" distB="0" distL="114300" distR="114300" simplePos="0" relativeHeight="524288" behindDoc="1" locked="0" layoutInCell="0" allowOverlap="1" wp14:anchorId="12B386EB" wp14:editId="0C4B9DCC">
          <wp:simplePos x="0" y="0"/>
          <wp:positionH relativeFrom="margin">
            <wp:align>center</wp:align>
          </wp:positionH>
          <wp:positionV relativeFrom="margin">
            <wp:align>center</wp:align>
          </wp:positionV>
          <wp:extent cx="5749925" cy="3832860"/>
          <wp:effectExtent l="0" t="0" r="0" b="0"/>
          <wp:wrapNone/>
          <wp:docPr id="3" name="_x0000_s2058"/>
          <wp:cNvGraphicFramePr/>
          <a:graphic xmlns:a="http://schemas.openxmlformats.org/drawingml/2006/main">
            <a:graphicData uri="http://schemas.openxmlformats.org/drawingml/2006/picture">
              <pic:pic xmlns:pic="http://schemas.openxmlformats.org/drawingml/2006/picture">
                <pic:nvPicPr>
                  <pic:cNvPr id="0" name="" descr="crowd-nanoanalysis-sympo"/>
                  <pic:cNvPicPr/>
                </pic:nvPicPr>
                <pic:blipFill rotWithShape="1">
                  <a:blip r:embed="rId1"/>
                  <a:stretch/>
                </pic:blipFill>
                <pic:spPr bwMode="auto">
                  <a:xfrm>
                    <a:off x="0" y="0"/>
                    <a:ext cx="5749925" cy="383286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E69"/>
    <w:multiLevelType w:val="multilevel"/>
    <w:tmpl w:val="A266989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AFE7632"/>
    <w:multiLevelType w:val="multilevel"/>
    <w:tmpl w:val="649AFB6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BB95C07"/>
    <w:multiLevelType w:val="multilevel"/>
    <w:tmpl w:val="ED9AB06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1B1E009B"/>
    <w:multiLevelType w:val="multilevel"/>
    <w:tmpl w:val="DD86F6E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20132B24"/>
    <w:multiLevelType w:val="multilevel"/>
    <w:tmpl w:val="D87804C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28FD32AE"/>
    <w:multiLevelType w:val="multilevel"/>
    <w:tmpl w:val="B8A64DA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2A844DE1"/>
    <w:multiLevelType w:val="multilevel"/>
    <w:tmpl w:val="87BCA88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3BFC00A9"/>
    <w:multiLevelType w:val="multilevel"/>
    <w:tmpl w:val="B5ECCBB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42AA4336"/>
    <w:multiLevelType w:val="multilevel"/>
    <w:tmpl w:val="C8D4FD2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D1772D2"/>
    <w:multiLevelType w:val="multilevel"/>
    <w:tmpl w:val="5004FCF6"/>
    <w:lvl w:ilvl="0">
      <w:start w:val="1"/>
      <w:numFmt w:val="bullet"/>
      <w:lvlText w:val=""/>
      <w:lvlJc w:val="left"/>
      <w:pPr>
        <w:tabs>
          <w:tab w:val="num" w:pos="1080"/>
        </w:tabs>
        <w:ind w:left="1080" w:hanging="360"/>
      </w:pPr>
      <w:rPr>
        <w:rFonts w:ascii="Symbol" w:hAnsi="Symbol"/>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0" w15:restartNumberingAfterBreak="0">
    <w:nsid w:val="7E280A3C"/>
    <w:multiLevelType w:val="multilevel"/>
    <w:tmpl w:val="1CC0599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10"/>
  </w:num>
  <w:num w:numId="2">
    <w:abstractNumId w:val="9"/>
  </w:num>
  <w:num w:numId="3">
    <w:abstractNumId w:val="3"/>
  </w:num>
  <w:num w:numId="4">
    <w:abstractNumId w:val="6"/>
  </w:num>
  <w:num w:numId="5">
    <w:abstractNumId w:val="0"/>
  </w:num>
  <w:num w:numId="6">
    <w:abstractNumId w:val="1"/>
  </w:num>
  <w:num w:numId="7">
    <w:abstractNumId w:val="2"/>
  </w:num>
  <w:num w:numId="8">
    <w:abstractNumId w:val="4"/>
  </w:num>
  <w:num w:numId="9">
    <w:abstractNumId w:val="8"/>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75"/>
    <w:rsid w:val="00687771"/>
    <w:rsid w:val="00DE2D75"/>
    <w:rsid w:val="00EF0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6110A"/>
  <w15:docId w15:val="{7ED969A3-A628-4674-A7EF-7FB2B4AB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itre1">
    <w:name w:val="heading 1"/>
    <w:basedOn w:val="Normal"/>
    <w:next w:val="Normal"/>
    <w:link w:val="Titre1Car"/>
    <w:qFormat/>
    <w:pPr>
      <w:keepNext/>
      <w:outlineLvl w:val="0"/>
    </w:pPr>
    <w:rPr>
      <w:b/>
      <w:color w:val="00000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link w:val="TitreCar"/>
    <w:qFormat/>
    <w:pPr>
      <w:jc w:val="center"/>
    </w:pPr>
    <w:rPr>
      <w:b/>
      <w:sz w:val="2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536"/>
        <w:tab w:val="right" w:pos="9072"/>
      </w:tabs>
    </w:pPr>
  </w:style>
  <w:style w:type="character" w:customStyle="1" w:styleId="HeaderChar">
    <w:name w:val="Header Char"/>
    <w:basedOn w:val="Policepardfaut"/>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styleId="Mentionnonrsolue">
    <w:name w:val="Unresolved Mention"/>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pPr>
    <w:rPr>
      <w:lang w:val="fr-FR" w:eastAsia="fr-FR"/>
    </w:rPr>
  </w:style>
  <w:style w:type="character" w:customStyle="1" w:styleId="En-tteCar">
    <w:name w:val="En-tête Car"/>
    <w:link w:val="En-tte"/>
    <w:uiPriority w:val="99"/>
    <w:rPr>
      <w:sz w:val="24"/>
      <w:szCs w:val="24"/>
      <w:lang w:val="en-US" w:eastAsia="en-US"/>
    </w:rPr>
  </w:style>
  <w:style w:type="character" w:customStyle="1" w:styleId="PieddepageCar">
    <w:name w:val="Pied de page Car"/>
    <w:link w:val="Pieddepage"/>
    <w:uiPriority w:val="9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1692</Characters>
  <Application>Microsoft Office Word</Application>
  <DocSecurity>0</DocSecurity>
  <Lines>14</Lines>
  <Paragraphs>3</Paragraphs>
  <ScaleCrop>false</ScaleCrop>
  <Company>Copernicus Gesellschaft e.V.</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Sergey Malugin</dc:creator>
  <cp:lastModifiedBy>SZENKNECT Stephanie</cp:lastModifiedBy>
  <cp:revision>2</cp:revision>
  <dcterms:created xsi:type="dcterms:W3CDTF">2026-09-08T12:04:00Z</dcterms:created>
  <dcterms:modified xsi:type="dcterms:W3CDTF">2026-09-08T12:04:00Z</dcterms:modified>
  <cp:version>1048576</cp:version>
</cp:coreProperties>
</file>